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8B" w:rsidRPr="008B40F6" w:rsidRDefault="0053708B" w:rsidP="0053708B">
      <w:pPr>
        <w:jc w:val="center"/>
        <w:rPr>
          <w:rFonts w:asciiTheme="minorHAnsi" w:hAnsiTheme="minorHAnsi" w:cstheme="minorHAnsi"/>
          <w:b/>
          <w:sz w:val="24"/>
          <w:szCs w:val="24"/>
        </w:rPr>
      </w:pPr>
      <w:r w:rsidRPr="008B40F6">
        <w:rPr>
          <w:rFonts w:asciiTheme="minorHAnsi" w:hAnsiTheme="minorHAnsi" w:cstheme="minorHAnsi"/>
          <w:b/>
          <w:sz w:val="24"/>
          <w:szCs w:val="24"/>
        </w:rPr>
        <w:t>MELLÉKLETEK</w:t>
      </w:r>
    </w:p>
    <w:p w:rsidR="0053708B" w:rsidRPr="000F165F" w:rsidRDefault="0053708B" w:rsidP="0053708B">
      <w:pPr>
        <w:jc w:val="both"/>
        <w:rPr>
          <w:rFonts w:asciiTheme="minorHAnsi" w:hAnsiTheme="minorHAnsi" w:cstheme="minorHAnsi"/>
          <w:sz w:val="24"/>
          <w:u w:val="single"/>
        </w:rPr>
      </w:pPr>
      <w:r w:rsidRPr="008B40F6">
        <w:rPr>
          <w:rFonts w:asciiTheme="minorHAnsi" w:hAnsiTheme="minorHAnsi" w:cstheme="minorHAnsi"/>
          <w:b/>
          <w:sz w:val="20"/>
          <w:szCs w:val="20"/>
          <w:u w:val="single"/>
        </w:rPr>
        <w:t xml:space="preserve">1. </w:t>
      </w:r>
      <w:proofErr w:type="gramStart"/>
      <w:r w:rsidRPr="008B40F6">
        <w:rPr>
          <w:rFonts w:asciiTheme="minorHAnsi" w:hAnsiTheme="minorHAnsi" w:cstheme="minorHAnsi"/>
          <w:b/>
          <w:sz w:val="20"/>
          <w:szCs w:val="20"/>
          <w:u w:val="single"/>
        </w:rPr>
        <w:t>melléklet</w:t>
      </w:r>
      <w:r>
        <w:rPr>
          <w:rStyle w:val="Lbjegyzet-hivatkozs"/>
          <w:rFonts w:asciiTheme="minorHAnsi" w:hAnsiTheme="minorHAnsi"/>
          <w:sz w:val="24"/>
          <w:u w:val="single"/>
        </w:rPr>
        <w:footnoteReference w:id="1"/>
      </w:r>
      <w:r w:rsidRPr="000F165F">
        <w:rPr>
          <w:rFonts w:asciiTheme="minorHAnsi" w:hAnsiTheme="minorHAnsi" w:cstheme="minorHAnsi"/>
          <w:sz w:val="24"/>
          <w:u w:val="single"/>
        </w:rPr>
        <w:t>:</w:t>
      </w:r>
      <w:proofErr w:type="gramEnd"/>
    </w:p>
    <w:p w:rsidR="0053708B" w:rsidRPr="0072684A" w:rsidRDefault="0053708B" w:rsidP="0053708B">
      <w:pPr>
        <w:jc w:val="both"/>
        <w:rPr>
          <w:rFonts w:asciiTheme="minorHAnsi" w:hAnsiTheme="minorHAnsi" w:cstheme="minorHAnsi"/>
          <w:b/>
          <w:sz w:val="24"/>
        </w:rPr>
      </w:pPr>
      <w:r w:rsidRPr="0072684A">
        <w:rPr>
          <w:rFonts w:asciiTheme="minorHAnsi" w:hAnsiTheme="minorHAnsi" w:cstheme="minorHAnsi"/>
          <w:b/>
          <w:sz w:val="24"/>
        </w:rPr>
        <w:t>Az együttműködésen alapuló tanulás, mint az oktatás stratégiai kérdése</w:t>
      </w:r>
    </w:p>
    <w:p w:rsidR="0053708B" w:rsidRPr="0072684A" w:rsidRDefault="0053708B" w:rsidP="0053708B">
      <w:pPr>
        <w:jc w:val="both"/>
        <w:rPr>
          <w:rFonts w:asciiTheme="minorHAnsi" w:hAnsiTheme="minorHAnsi" w:cstheme="minorHAnsi"/>
          <w:b/>
          <w:sz w:val="24"/>
        </w:rPr>
      </w:pPr>
    </w:p>
    <w:p w:rsidR="0053708B" w:rsidRPr="008A63A3" w:rsidRDefault="0053708B" w:rsidP="0053708B">
      <w:pPr>
        <w:jc w:val="both"/>
        <w:rPr>
          <w:rFonts w:asciiTheme="minorHAnsi" w:hAnsiTheme="minorHAnsi" w:cstheme="minorHAnsi"/>
          <w:sz w:val="20"/>
          <w:szCs w:val="20"/>
        </w:rPr>
      </w:pPr>
      <w:r w:rsidRPr="008A63A3">
        <w:rPr>
          <w:rFonts w:asciiTheme="minorHAnsi" w:hAnsiTheme="minorHAnsi" w:cstheme="minorHAnsi"/>
          <w:sz w:val="20"/>
          <w:szCs w:val="20"/>
        </w:rPr>
        <w:t xml:space="preserve">A modern társadalmak egyik fontos kihívása, hogy egymástól eltérő társadalmi, etnikai, műveltség- és képességbeli háttérrel rendelkező emberek képesek legyenek különféle gazdasági, társadalmi, kulturális célok megvalósítása érdekében működő közösségek kialakítására. A hatékony állampolgári létre való felkészülés egy nyílt társadalomban megköveteli az ismeretek önálló szerzésére, feldolgozására és értékelésére való képességet, a kritikus, elemző, értelmező, érvelő, ugyanakkor a másik gondolatait is tiszteletben tartani tudó, megértő, türelmes, beleérző magatartást. </w:t>
      </w:r>
    </w:p>
    <w:p w:rsidR="0053708B" w:rsidRPr="008A63A3" w:rsidRDefault="0053708B" w:rsidP="0053708B">
      <w:pPr>
        <w:ind w:firstLine="708"/>
        <w:jc w:val="both"/>
        <w:rPr>
          <w:rFonts w:asciiTheme="minorHAnsi" w:hAnsiTheme="minorHAnsi" w:cstheme="minorHAnsi"/>
          <w:sz w:val="20"/>
          <w:szCs w:val="20"/>
        </w:rPr>
      </w:pPr>
      <w:r w:rsidRPr="008A63A3">
        <w:rPr>
          <w:rFonts w:asciiTheme="minorHAnsi" w:hAnsiTheme="minorHAnsi" w:cstheme="minorHAnsi"/>
          <w:sz w:val="20"/>
          <w:szCs w:val="20"/>
        </w:rPr>
        <w:t xml:space="preserve">Ezeknek a társadalmi szükségletekből fakadó kihívásoknak a modern oktatás akkor tud megfelelni, ha a tanulók egyrészt személyes tapasztalatokat szerezhetnek az önálló tanulás folyamatáról, másrészt segítséget (modelleket, módszereket, technikákat) kapnak ahhoz, hogy egyre tudatosabban irányíthassák és ellenőrizhessék saját megértési folyamataikat. Ugyanakkor ezek a gondolkodási készségek önmagukban nem elégségesek. A társadalom és gazdaság egyre magasabb fokú szervezettségéből következően szükség van a társas érintkezésben megnyilvánuló olyan magatartásformákra, szociális készségekre, amelyek az együttműködést segítik. Így századunkban különösen fontos értékként tételeződik az empátia és a kooperáció. </w:t>
      </w:r>
    </w:p>
    <w:p w:rsidR="0053708B" w:rsidRPr="008A63A3" w:rsidRDefault="0053708B" w:rsidP="0053708B">
      <w:pPr>
        <w:ind w:firstLine="708"/>
        <w:jc w:val="both"/>
        <w:rPr>
          <w:rFonts w:asciiTheme="minorHAnsi" w:hAnsiTheme="minorHAnsi" w:cstheme="minorHAnsi"/>
          <w:sz w:val="20"/>
          <w:szCs w:val="20"/>
        </w:rPr>
      </w:pPr>
      <w:r w:rsidRPr="008A63A3">
        <w:rPr>
          <w:rFonts w:asciiTheme="minorHAnsi" w:hAnsiTheme="minorHAnsi" w:cstheme="minorHAnsi"/>
          <w:sz w:val="20"/>
          <w:szCs w:val="20"/>
        </w:rPr>
        <w:t xml:space="preserve">Az empátia (beleérzés) azt jelenti, hogy a dolgokat képesek vagyunk mások nézőpontjából is szemlélni, megértjük vagy megérezzük, hogy a másik ember egy adott eseményt hogyan él meg, hogyan dolgoz fel. Ez az alapja annak, hogy olyan közös célokat tudjunk meghatározni másokkal, amelyekért képesek vagyunk együtt dolgozni. Az együttműködés fontos feltétele az értelmes részvétel érzése. Az, hogy érdemes tevékenykedni a közösség (család, osztály, város, nemzet) ügyeiben, mert az egyén cselekedeteinek a közösségre is kiható jelentősége van. Többek között ez a tudat, az egyén cselekvéseinek értéke és célja adhatja a saját élet hasznosságának, sikerességének, értelmének érzését. Nem kevésbé fontos, hogy személyes hitünk és tetteink, cselekedeteink és szavaink harmonikusan illeszkedjenek egymáshoz, mert ez a harmónia eredményezi a személyiség hitelességét. </w:t>
      </w:r>
    </w:p>
    <w:p w:rsidR="0053708B" w:rsidRPr="008A63A3" w:rsidRDefault="0053708B" w:rsidP="0053708B">
      <w:pPr>
        <w:ind w:firstLine="708"/>
        <w:jc w:val="both"/>
        <w:rPr>
          <w:rFonts w:asciiTheme="minorHAnsi" w:hAnsiTheme="minorHAnsi" w:cstheme="minorHAnsi"/>
          <w:sz w:val="20"/>
          <w:szCs w:val="20"/>
        </w:rPr>
      </w:pPr>
      <w:r w:rsidRPr="008A63A3">
        <w:rPr>
          <w:rFonts w:asciiTheme="minorHAnsi" w:hAnsiTheme="minorHAnsi" w:cstheme="minorHAnsi"/>
          <w:sz w:val="20"/>
          <w:szCs w:val="20"/>
        </w:rPr>
        <w:t xml:space="preserve">A szociális kompetencia a gondolkodási készségekhez hasonlóan fejleszthető, de ez a magatartásmód nem egy tantárgy keretein belül fejlődik, fejlődhet ki, hanem az iskolai nevelés teljes környezetében: a napról napra ismétlődő tevékenységekben, szokásokban, elvárásokon keresztül. Tanórai és tanórán kívüli keretekben ennek a fejlesztő tevékenységnek egyik – a gondolkodási és szociális készségekre egyaránt kiható – stratégiája, tanulási módszere az együttműködésen alapuló tanulás, más szóval kooperatív tanulás. </w:t>
      </w:r>
    </w:p>
    <w:p w:rsidR="0053708B" w:rsidRPr="008A63A3" w:rsidRDefault="0053708B" w:rsidP="0053708B">
      <w:pPr>
        <w:jc w:val="both"/>
        <w:rPr>
          <w:rFonts w:asciiTheme="minorHAnsi" w:hAnsiTheme="minorHAnsi" w:cstheme="minorHAnsi"/>
          <w:sz w:val="20"/>
          <w:szCs w:val="20"/>
        </w:rPr>
      </w:pPr>
    </w:p>
    <w:p w:rsidR="0053708B" w:rsidRPr="008A63A3" w:rsidRDefault="0053708B" w:rsidP="0053708B">
      <w:pPr>
        <w:jc w:val="both"/>
        <w:rPr>
          <w:rFonts w:asciiTheme="minorHAnsi" w:hAnsiTheme="minorHAnsi" w:cstheme="minorHAnsi"/>
          <w:b/>
          <w:sz w:val="20"/>
          <w:szCs w:val="20"/>
        </w:rPr>
      </w:pPr>
      <w:r w:rsidRPr="008A63A3">
        <w:rPr>
          <w:rFonts w:asciiTheme="minorHAnsi" w:hAnsiTheme="minorHAnsi" w:cstheme="minorHAnsi"/>
          <w:b/>
          <w:sz w:val="20"/>
          <w:szCs w:val="20"/>
        </w:rPr>
        <w:t>A kooperatív tanulás fogalma</w:t>
      </w:r>
    </w:p>
    <w:p w:rsidR="0053708B" w:rsidRPr="008A63A3" w:rsidRDefault="0053708B" w:rsidP="0053708B">
      <w:pPr>
        <w:jc w:val="both"/>
        <w:rPr>
          <w:rFonts w:asciiTheme="minorHAnsi" w:hAnsiTheme="minorHAnsi" w:cstheme="minorHAnsi"/>
          <w:sz w:val="20"/>
          <w:szCs w:val="20"/>
        </w:rPr>
      </w:pPr>
    </w:p>
    <w:p w:rsidR="0053708B" w:rsidRPr="008A63A3" w:rsidRDefault="0053708B" w:rsidP="0053708B">
      <w:pPr>
        <w:jc w:val="both"/>
        <w:rPr>
          <w:rFonts w:asciiTheme="minorHAnsi" w:hAnsiTheme="minorHAnsi" w:cstheme="minorHAnsi"/>
          <w:sz w:val="20"/>
          <w:szCs w:val="20"/>
        </w:rPr>
      </w:pPr>
      <w:r w:rsidRPr="008A63A3">
        <w:rPr>
          <w:rFonts w:asciiTheme="minorHAnsi" w:hAnsiTheme="minorHAnsi" w:cstheme="minorHAnsi"/>
          <w:sz w:val="20"/>
          <w:szCs w:val="20"/>
        </w:rPr>
        <w:t>Az együttműködésen alapuló tanulás a tanulóknak (diákok, felnőttek) párban vagy 4-6 fős csoportokban végzett olyan tevékenysége, melynek során együttműködve oldanak meg egy közös problémát, kutatnak egy közös témát, vagy közös értelmezéssel (diskurzussal) hoznak létre új gondolatokat, kombinációkat (</w:t>
      </w:r>
      <w:proofErr w:type="spellStart"/>
      <w:r w:rsidRPr="008A63A3">
        <w:rPr>
          <w:rFonts w:asciiTheme="minorHAnsi" w:hAnsiTheme="minorHAnsi" w:cstheme="minorHAnsi"/>
          <w:sz w:val="20"/>
          <w:szCs w:val="20"/>
        </w:rPr>
        <w:t>Tempe</w:t>
      </w:r>
      <w:proofErr w:type="spellEnd"/>
      <w:r w:rsidRPr="008A63A3">
        <w:rPr>
          <w:rFonts w:asciiTheme="minorHAnsi" w:hAnsiTheme="minorHAnsi" w:cstheme="minorHAnsi"/>
          <w:sz w:val="20"/>
          <w:szCs w:val="20"/>
        </w:rPr>
        <w:t xml:space="preserve"> – </w:t>
      </w:r>
      <w:proofErr w:type="spellStart"/>
      <w:r w:rsidRPr="008A63A3">
        <w:rPr>
          <w:rFonts w:asciiTheme="minorHAnsi" w:hAnsiTheme="minorHAnsi" w:cstheme="minorHAnsi"/>
          <w:sz w:val="20"/>
          <w:szCs w:val="20"/>
        </w:rPr>
        <w:t>Steele</w:t>
      </w:r>
      <w:proofErr w:type="spellEnd"/>
      <w:r w:rsidRPr="008A63A3">
        <w:rPr>
          <w:rFonts w:asciiTheme="minorHAnsi" w:hAnsiTheme="minorHAnsi" w:cstheme="minorHAnsi"/>
          <w:sz w:val="20"/>
          <w:szCs w:val="20"/>
        </w:rPr>
        <w:t xml:space="preserve"> – Meredith, 1988/V.). A módszer legfőbb haszna, hogy a tanulási folyamatban a tanuló egyén aktív </w:t>
      </w:r>
      <w:r w:rsidRPr="008A63A3">
        <w:rPr>
          <w:rFonts w:asciiTheme="minorHAnsi" w:hAnsiTheme="minorHAnsi" w:cstheme="minorHAnsi"/>
          <w:sz w:val="20"/>
          <w:szCs w:val="20"/>
        </w:rPr>
        <w:lastRenderedPageBreak/>
        <w:t>gondolkodással, alkotó módon és sokoldalú együttműködéssel jut el az új ismeretek megszerzéséhez, megértéséhez és felhasználásához, miközben a kommunikációban a diák–</w:t>
      </w:r>
      <w:proofErr w:type="spellStart"/>
      <w:r w:rsidRPr="008A63A3">
        <w:rPr>
          <w:rFonts w:asciiTheme="minorHAnsi" w:hAnsiTheme="minorHAnsi" w:cstheme="minorHAnsi"/>
          <w:sz w:val="20"/>
          <w:szCs w:val="20"/>
        </w:rPr>
        <w:t>diák</w:t>
      </w:r>
      <w:proofErr w:type="spellEnd"/>
      <w:r w:rsidRPr="008A63A3">
        <w:rPr>
          <w:rFonts w:asciiTheme="minorHAnsi" w:hAnsiTheme="minorHAnsi" w:cstheme="minorHAnsi"/>
          <w:sz w:val="20"/>
          <w:szCs w:val="20"/>
        </w:rPr>
        <w:t xml:space="preserve"> közti interakció jut meghatározó szerephez. A kooperatív tanulás módszerét amerikai (elsőként </w:t>
      </w:r>
      <w:r w:rsidRPr="008A63A3">
        <w:rPr>
          <w:rFonts w:asciiTheme="minorHAnsi" w:hAnsiTheme="minorHAnsi" w:cstheme="minorHAnsi"/>
          <w:i/>
          <w:sz w:val="20"/>
          <w:szCs w:val="20"/>
        </w:rPr>
        <w:t xml:space="preserve">Elliot </w:t>
      </w:r>
      <w:proofErr w:type="spellStart"/>
      <w:r w:rsidRPr="008A63A3">
        <w:rPr>
          <w:rFonts w:asciiTheme="minorHAnsi" w:hAnsiTheme="minorHAnsi" w:cstheme="minorHAnsi"/>
          <w:i/>
          <w:sz w:val="20"/>
          <w:szCs w:val="20"/>
        </w:rPr>
        <w:t>Aronson</w:t>
      </w:r>
      <w:proofErr w:type="spellEnd"/>
      <w:r w:rsidRPr="008A63A3">
        <w:rPr>
          <w:rFonts w:asciiTheme="minorHAnsi" w:hAnsiTheme="minorHAnsi" w:cstheme="minorHAnsi"/>
          <w:sz w:val="20"/>
          <w:szCs w:val="20"/>
        </w:rPr>
        <w:t>) és izraeli oktatási szakemberek dolgozták ki, eredetileg a nehezen tanuló, lemaradó diákok kortárs csoportban való felzárkóztatására, tanulássegítésére, valamint a különböző kultúrájú, vallású, illetve szociális hátterű diákok közötti konfliktusoknak a feloldására. Mára meggyőző kutatások bizonyítják a módszer általános, akár a tehetséggondozásban is használható eredményességét. Az érdeklődők bőséges magyar szakirodalomból is tájékozódhatnak.</w:t>
      </w:r>
    </w:p>
    <w:p w:rsidR="0053708B" w:rsidRPr="008A63A3" w:rsidRDefault="0053708B" w:rsidP="0053708B">
      <w:pPr>
        <w:tabs>
          <w:tab w:val="left" w:pos="7920"/>
        </w:tabs>
        <w:ind w:firstLine="708"/>
        <w:jc w:val="both"/>
        <w:rPr>
          <w:rFonts w:asciiTheme="minorHAnsi" w:hAnsiTheme="minorHAnsi" w:cstheme="minorHAnsi"/>
          <w:sz w:val="20"/>
          <w:szCs w:val="20"/>
        </w:rPr>
      </w:pPr>
      <w:r w:rsidRPr="008A63A3">
        <w:rPr>
          <w:rFonts w:asciiTheme="minorHAnsi" w:hAnsiTheme="minorHAnsi" w:cstheme="minorHAnsi"/>
          <w:sz w:val="20"/>
          <w:szCs w:val="20"/>
        </w:rPr>
        <w:t xml:space="preserve">A kooperatív tanulás hatékonyan fejlesztheti a kritikai gondolkodást (problémamegoldás, információkezelés, döntéshozás). Módszerével a tanulók megtapasztalhatják, hogy másokkal együtt többet végezhetnek és érhetnek el, mint egyedül, mert miközben megosztják a feladatot, egymás munkájának jóindulatú kritikusaként, segítőjeként működhetnek a csoportban. A közös munka során szinte észrevétlenül fejlődik kommunikációs képességük. </w:t>
      </w:r>
      <w:proofErr w:type="gramStart"/>
      <w:r w:rsidRPr="008A63A3">
        <w:rPr>
          <w:rFonts w:asciiTheme="minorHAnsi" w:hAnsiTheme="minorHAnsi" w:cstheme="minorHAnsi"/>
          <w:sz w:val="20"/>
          <w:szCs w:val="20"/>
        </w:rPr>
        <w:t>Megtanulnak</w:t>
      </w:r>
      <w:proofErr w:type="gramEnd"/>
      <w:r w:rsidRPr="008A63A3">
        <w:rPr>
          <w:rFonts w:asciiTheme="minorHAnsi" w:hAnsiTheme="minorHAnsi" w:cstheme="minorHAnsi"/>
          <w:sz w:val="20"/>
          <w:szCs w:val="20"/>
        </w:rPr>
        <w:t xml:space="preserve"> kérdezni, mondandójukat előadni, érvelni és vitázni, figyelni másokra, értékelni a társak és önmaguk munkáját. Az együttműködésen alapuló tanulás az aktív elme jóval több funkcióját mozgósítja, mint a hagyományos frontális óravezetés. Ideális esetben a tanulási folyamat kimenti oldalán a kooperatív tanulásban </w:t>
      </w:r>
      <w:proofErr w:type="gramStart"/>
      <w:r w:rsidRPr="008A63A3">
        <w:rPr>
          <w:rFonts w:asciiTheme="minorHAnsi" w:hAnsiTheme="minorHAnsi" w:cstheme="minorHAnsi"/>
          <w:sz w:val="20"/>
          <w:szCs w:val="20"/>
        </w:rPr>
        <w:t>jártas</w:t>
      </w:r>
      <w:proofErr w:type="gramEnd"/>
      <w:r w:rsidRPr="008A63A3">
        <w:rPr>
          <w:rFonts w:asciiTheme="minorHAnsi" w:hAnsiTheme="minorHAnsi" w:cstheme="minorHAnsi"/>
          <w:sz w:val="20"/>
          <w:szCs w:val="20"/>
        </w:rPr>
        <w:t xml:space="preserve"> fiatalok felkészültebbek az önálló, élethosszig tartó önálló tanulásra, mint azok, akik kevés lehetőséget kaptak az iskolában az önálló és csoportban végzett munkára. Az együttműködésen alapuló tanulásnak kiterjedt és változatos eljáráskészlete van. </w:t>
      </w:r>
      <w:r w:rsidRPr="008A63A3">
        <w:rPr>
          <w:rFonts w:asciiTheme="minorHAnsi" w:hAnsiTheme="minorHAnsi" w:cstheme="minorHAnsi"/>
          <w:i/>
          <w:sz w:val="20"/>
          <w:szCs w:val="20"/>
        </w:rPr>
        <w:t xml:space="preserve">Tanulási technikái például a mozaik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a</w:t>
      </w:r>
      <w:r w:rsidRPr="008A63A3">
        <w:rPr>
          <w:rFonts w:asciiTheme="minorHAnsi" w:hAnsiTheme="minorHAnsi" w:cstheme="minorHAnsi"/>
          <w:i/>
          <w:sz w:val="20"/>
          <w:szCs w:val="20"/>
        </w:rPr>
        <w:t xml:space="preserve"> tanári kalauz</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proofErr w:type="gramStart"/>
      <w:r w:rsidRPr="008A63A3">
        <w:rPr>
          <w:rFonts w:asciiTheme="minorHAnsi" w:hAnsiTheme="minorHAnsi" w:cstheme="minorHAnsi"/>
          <w:i/>
          <w:sz w:val="20"/>
          <w:szCs w:val="20"/>
        </w:rPr>
        <w:t>reciprok tanítás</w:t>
      </w:r>
      <w:proofErr w:type="gramEnd"/>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kockázás</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az </w:t>
      </w:r>
      <w:r w:rsidRPr="008A63A3">
        <w:rPr>
          <w:rFonts w:asciiTheme="minorHAnsi" w:hAnsiTheme="minorHAnsi" w:cstheme="minorHAnsi"/>
          <w:i/>
          <w:sz w:val="20"/>
          <w:szCs w:val="20"/>
        </w:rPr>
        <w:t>irodalmi körök</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az </w:t>
      </w:r>
      <w:r w:rsidRPr="008A63A3">
        <w:rPr>
          <w:rFonts w:asciiTheme="minorHAnsi" w:hAnsiTheme="minorHAnsi" w:cstheme="minorHAnsi"/>
          <w:i/>
          <w:sz w:val="20"/>
          <w:szCs w:val="20"/>
        </w:rPr>
        <w:t>egy témáról különböző szerepekben</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háromlépéses interjú. A </w:t>
      </w:r>
      <w:r w:rsidRPr="008A63A3">
        <w:rPr>
          <w:rFonts w:asciiTheme="minorHAnsi" w:hAnsiTheme="minorHAnsi" w:cstheme="minorHAnsi"/>
          <w:i/>
          <w:sz w:val="20"/>
          <w:szCs w:val="20"/>
        </w:rPr>
        <w:t xml:space="preserve">megosztási technikák </w:t>
      </w:r>
      <w:r w:rsidRPr="008A63A3">
        <w:rPr>
          <w:rFonts w:asciiTheme="minorHAnsi" w:hAnsiTheme="minorHAnsi" w:cstheme="minorHAnsi"/>
          <w:sz w:val="20"/>
          <w:szCs w:val="20"/>
        </w:rPr>
        <w:t xml:space="preserve">közül jól használható az </w:t>
      </w:r>
      <w:r w:rsidRPr="008A63A3">
        <w:rPr>
          <w:rFonts w:asciiTheme="minorHAnsi" w:hAnsiTheme="minorHAnsi" w:cstheme="minorHAnsi"/>
          <w:i/>
          <w:sz w:val="20"/>
          <w:szCs w:val="20"/>
        </w:rPr>
        <w:t>eszmecsere</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 xml:space="preserve">közzététel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három megy, egy marad</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w:t>
      </w:r>
      <w:r w:rsidRPr="008A63A3">
        <w:rPr>
          <w:rFonts w:asciiTheme="minorHAnsi" w:hAnsiTheme="minorHAnsi" w:cstheme="minorHAnsi"/>
          <w:i/>
          <w:sz w:val="20"/>
          <w:szCs w:val="20"/>
        </w:rPr>
        <w:t>a tollak középen</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kerekasztal-körforgó</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az </w:t>
      </w:r>
      <w:r w:rsidRPr="008A63A3">
        <w:rPr>
          <w:rFonts w:asciiTheme="minorHAnsi" w:hAnsiTheme="minorHAnsi" w:cstheme="minorHAnsi"/>
          <w:i/>
          <w:sz w:val="20"/>
          <w:szCs w:val="20"/>
        </w:rPr>
        <w:t>utolsó szó joga</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vándorló csoportok</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w:t>
      </w:r>
      <w:proofErr w:type="gramStart"/>
      <w:r w:rsidRPr="008A63A3">
        <w:rPr>
          <w:rFonts w:asciiTheme="minorHAnsi" w:hAnsiTheme="minorHAnsi" w:cstheme="minorHAnsi"/>
          <w:sz w:val="20"/>
          <w:szCs w:val="20"/>
        </w:rPr>
        <w:t>A</w:t>
      </w:r>
      <w:proofErr w:type="gramEnd"/>
      <w:r w:rsidRPr="008A63A3">
        <w:rPr>
          <w:rFonts w:asciiTheme="minorHAnsi" w:hAnsiTheme="minorHAnsi" w:cstheme="minorHAnsi"/>
          <w:sz w:val="20"/>
          <w:szCs w:val="20"/>
        </w:rPr>
        <w:t xml:space="preserve"> </w:t>
      </w:r>
      <w:r w:rsidRPr="008A63A3">
        <w:rPr>
          <w:rFonts w:asciiTheme="minorHAnsi" w:hAnsiTheme="minorHAnsi" w:cstheme="minorHAnsi"/>
          <w:i/>
          <w:sz w:val="20"/>
          <w:szCs w:val="20"/>
        </w:rPr>
        <w:t>vitatechnikák</w:t>
      </w:r>
      <w:r w:rsidRPr="008A63A3">
        <w:rPr>
          <w:rFonts w:asciiTheme="minorHAnsi" w:hAnsiTheme="minorHAnsi" w:cstheme="minorHAnsi"/>
          <w:sz w:val="20"/>
          <w:szCs w:val="20"/>
        </w:rPr>
        <w:t xml:space="preserve"> közül a fontosabbak: az</w:t>
      </w:r>
      <w:r w:rsidRPr="008A63A3">
        <w:rPr>
          <w:rFonts w:asciiTheme="minorHAnsi" w:hAnsiTheme="minorHAnsi" w:cstheme="minorHAnsi"/>
          <w:i/>
          <w:sz w:val="20"/>
          <w:szCs w:val="20"/>
        </w:rPr>
        <w:t xml:space="preserve"> akadémikus vita</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az </w:t>
      </w:r>
      <w:r w:rsidRPr="008A63A3">
        <w:rPr>
          <w:rFonts w:asciiTheme="minorHAnsi" w:hAnsiTheme="minorHAnsi" w:cstheme="minorHAnsi"/>
          <w:i/>
          <w:sz w:val="20"/>
          <w:szCs w:val="20"/>
        </w:rPr>
        <w:t>érvek kártyán</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konstruktív vita</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sarkok</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a </w:t>
      </w:r>
      <w:r w:rsidRPr="008A63A3">
        <w:rPr>
          <w:rFonts w:asciiTheme="minorHAnsi" w:hAnsiTheme="minorHAnsi" w:cstheme="minorHAnsi"/>
          <w:i/>
          <w:sz w:val="20"/>
          <w:szCs w:val="20"/>
        </w:rPr>
        <w:t>vitaháló</w:t>
      </w:r>
      <w:r w:rsidRPr="008A63A3">
        <w:rPr>
          <w:rFonts w:asciiTheme="minorHAnsi" w:hAnsiTheme="minorHAnsi" w:cstheme="minorHAnsi"/>
          <w:sz w:val="20"/>
          <w:szCs w:val="20"/>
        </w:rPr>
        <w:t xml:space="preserve">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 xml:space="preserve"> és a </w:t>
      </w:r>
      <w:r w:rsidRPr="008A63A3">
        <w:rPr>
          <w:rFonts w:asciiTheme="minorHAnsi" w:hAnsiTheme="minorHAnsi" w:cstheme="minorHAnsi"/>
          <w:i/>
          <w:sz w:val="20"/>
          <w:szCs w:val="20"/>
        </w:rPr>
        <w:t xml:space="preserve">disputa </w:t>
      </w:r>
      <w:r w:rsidRPr="008A63A3">
        <w:rPr>
          <w:rFonts w:asciiTheme="minorHAnsi" w:hAnsiTheme="minorHAnsi" w:cstheme="minorHAnsi"/>
          <w:sz w:val="20"/>
          <w:szCs w:val="20"/>
        </w:rPr>
        <w:sym w:font="Wingdings" w:char="F026"/>
      </w:r>
      <w:r w:rsidRPr="008A63A3">
        <w:rPr>
          <w:rFonts w:asciiTheme="minorHAnsi" w:hAnsiTheme="minorHAnsi" w:cstheme="minorHAnsi"/>
          <w:sz w:val="20"/>
          <w:szCs w:val="20"/>
        </w:rPr>
        <w:t>.</w:t>
      </w:r>
    </w:p>
    <w:p w:rsidR="0053708B" w:rsidRDefault="0053708B" w:rsidP="0053708B">
      <w:pPr>
        <w:jc w:val="both"/>
        <w:rPr>
          <w:rFonts w:asciiTheme="minorHAnsi" w:hAnsiTheme="minorHAnsi" w:cstheme="minorHAnsi"/>
          <w:sz w:val="24"/>
          <w:u w:val="single"/>
        </w:rPr>
      </w:pPr>
      <w:bookmarkStart w:id="0" w:name="_GoBack"/>
      <w:bookmarkEnd w:id="0"/>
    </w:p>
    <w:sectPr w:rsidR="005370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09" w:rsidRDefault="00CE0F09" w:rsidP="0053708B">
      <w:pPr>
        <w:spacing w:after="0" w:line="240" w:lineRule="auto"/>
      </w:pPr>
      <w:r>
        <w:separator/>
      </w:r>
    </w:p>
  </w:endnote>
  <w:endnote w:type="continuationSeparator" w:id="0">
    <w:p w:rsidR="00CE0F09" w:rsidRDefault="00CE0F09" w:rsidP="0053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09" w:rsidRDefault="00CE0F09" w:rsidP="0053708B">
      <w:pPr>
        <w:spacing w:after="0" w:line="240" w:lineRule="auto"/>
      </w:pPr>
      <w:r>
        <w:separator/>
      </w:r>
    </w:p>
  </w:footnote>
  <w:footnote w:type="continuationSeparator" w:id="0">
    <w:p w:rsidR="00CE0F09" w:rsidRDefault="00CE0F09" w:rsidP="0053708B">
      <w:pPr>
        <w:spacing w:after="0" w:line="240" w:lineRule="auto"/>
      </w:pPr>
      <w:r>
        <w:continuationSeparator/>
      </w:r>
    </w:p>
  </w:footnote>
  <w:footnote w:id="1">
    <w:p w:rsidR="0053708B" w:rsidRPr="00231804" w:rsidRDefault="0053708B" w:rsidP="0053708B">
      <w:pPr>
        <w:pStyle w:val="Lbjegyzetszveg"/>
        <w:rPr>
          <w:sz w:val="16"/>
          <w:szCs w:val="16"/>
        </w:rPr>
      </w:pPr>
      <w:r w:rsidRPr="00231804">
        <w:rPr>
          <w:rStyle w:val="Lbjegyzet-hivatkozs"/>
          <w:sz w:val="16"/>
          <w:szCs w:val="16"/>
        </w:rPr>
        <w:footnoteRef/>
      </w:r>
      <w:r w:rsidRPr="00231804">
        <w:rPr>
          <w:sz w:val="16"/>
          <w:szCs w:val="16"/>
        </w:rPr>
        <w:t xml:space="preserve"> Pethőné Nagy Csilla: </w:t>
      </w:r>
      <w:r w:rsidRPr="00231804">
        <w:rPr>
          <w:i/>
          <w:sz w:val="16"/>
          <w:szCs w:val="16"/>
        </w:rPr>
        <w:t>Módszertani kézikönyv,</w:t>
      </w:r>
      <w:r w:rsidRPr="00231804">
        <w:rPr>
          <w:sz w:val="16"/>
          <w:szCs w:val="16"/>
        </w:rPr>
        <w:t xml:space="preserve"> Korona Kiadó, Bp., 2007, 144-145.o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E83"/>
    <w:multiLevelType w:val="hybridMultilevel"/>
    <w:tmpl w:val="CC2C4C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65E65DA"/>
    <w:multiLevelType w:val="hybridMultilevel"/>
    <w:tmpl w:val="0E4007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B"/>
    <w:rsid w:val="002C48B8"/>
    <w:rsid w:val="0053708B"/>
    <w:rsid w:val="00A40EDE"/>
    <w:rsid w:val="00CE0F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08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3708B"/>
    <w:rPr>
      <w:rFonts w:cs="Times New Roman"/>
      <w:color w:val="0000FF"/>
      <w:u w:val="single"/>
    </w:rPr>
  </w:style>
  <w:style w:type="paragraph" w:styleId="Lbjegyzetszveg">
    <w:name w:val="footnote text"/>
    <w:basedOn w:val="Norml"/>
    <w:link w:val="LbjegyzetszvegChar"/>
    <w:semiHidden/>
    <w:unhideWhenUsed/>
    <w:rsid w:val="0053708B"/>
    <w:rPr>
      <w:rFonts w:eastAsia="Times New Roman"/>
      <w:sz w:val="20"/>
      <w:szCs w:val="20"/>
    </w:rPr>
  </w:style>
  <w:style w:type="character" w:customStyle="1" w:styleId="LbjegyzetszvegChar">
    <w:name w:val="Lábjegyzetszöveg Char"/>
    <w:basedOn w:val="Bekezdsalapbettpusa"/>
    <w:link w:val="Lbjegyzetszveg"/>
    <w:semiHidden/>
    <w:rsid w:val="0053708B"/>
    <w:rPr>
      <w:rFonts w:ascii="Calibri" w:eastAsia="Times New Roman" w:hAnsi="Calibri" w:cs="Times New Roman"/>
      <w:sz w:val="20"/>
      <w:szCs w:val="20"/>
    </w:rPr>
  </w:style>
  <w:style w:type="character" w:styleId="Lbjegyzet-hivatkozs">
    <w:name w:val="footnote reference"/>
    <w:semiHidden/>
    <w:unhideWhenUsed/>
    <w:rsid w:val="0053708B"/>
    <w:rPr>
      <w:rFonts w:cs="Times New Roman"/>
      <w:vertAlign w:val="superscript"/>
    </w:rPr>
  </w:style>
  <w:style w:type="character" w:styleId="HTML-idzet">
    <w:name w:val="HTML Cite"/>
    <w:basedOn w:val="Bekezdsalapbettpusa"/>
    <w:rsid w:val="0053708B"/>
    <w:rPr>
      <w:i/>
      <w:iCs/>
    </w:rPr>
  </w:style>
  <w:style w:type="paragraph" w:styleId="Buborkszveg">
    <w:name w:val="Balloon Text"/>
    <w:basedOn w:val="Norml"/>
    <w:link w:val="BuborkszvegChar"/>
    <w:uiPriority w:val="99"/>
    <w:semiHidden/>
    <w:unhideWhenUsed/>
    <w:rsid w:val="0053708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70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708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3708B"/>
    <w:rPr>
      <w:rFonts w:cs="Times New Roman"/>
      <w:color w:val="0000FF"/>
      <w:u w:val="single"/>
    </w:rPr>
  </w:style>
  <w:style w:type="paragraph" w:styleId="Lbjegyzetszveg">
    <w:name w:val="footnote text"/>
    <w:basedOn w:val="Norml"/>
    <w:link w:val="LbjegyzetszvegChar"/>
    <w:semiHidden/>
    <w:unhideWhenUsed/>
    <w:rsid w:val="0053708B"/>
    <w:rPr>
      <w:rFonts w:eastAsia="Times New Roman"/>
      <w:sz w:val="20"/>
      <w:szCs w:val="20"/>
    </w:rPr>
  </w:style>
  <w:style w:type="character" w:customStyle="1" w:styleId="LbjegyzetszvegChar">
    <w:name w:val="Lábjegyzetszöveg Char"/>
    <w:basedOn w:val="Bekezdsalapbettpusa"/>
    <w:link w:val="Lbjegyzetszveg"/>
    <w:semiHidden/>
    <w:rsid w:val="0053708B"/>
    <w:rPr>
      <w:rFonts w:ascii="Calibri" w:eastAsia="Times New Roman" w:hAnsi="Calibri" w:cs="Times New Roman"/>
      <w:sz w:val="20"/>
      <w:szCs w:val="20"/>
    </w:rPr>
  </w:style>
  <w:style w:type="character" w:styleId="Lbjegyzet-hivatkozs">
    <w:name w:val="footnote reference"/>
    <w:semiHidden/>
    <w:unhideWhenUsed/>
    <w:rsid w:val="0053708B"/>
    <w:rPr>
      <w:rFonts w:cs="Times New Roman"/>
      <w:vertAlign w:val="superscript"/>
    </w:rPr>
  </w:style>
  <w:style w:type="character" w:styleId="HTML-idzet">
    <w:name w:val="HTML Cite"/>
    <w:basedOn w:val="Bekezdsalapbettpusa"/>
    <w:rsid w:val="0053708B"/>
    <w:rPr>
      <w:i/>
      <w:iCs/>
    </w:rPr>
  </w:style>
  <w:style w:type="paragraph" w:styleId="Buborkszveg">
    <w:name w:val="Balloon Text"/>
    <w:basedOn w:val="Norml"/>
    <w:link w:val="BuborkszvegChar"/>
    <w:uiPriority w:val="99"/>
    <w:semiHidden/>
    <w:unhideWhenUsed/>
    <w:rsid w:val="0053708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70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4770</Characters>
  <Application>Microsoft Office Word</Application>
  <DocSecurity>0</DocSecurity>
  <Lines>39</Lines>
  <Paragraphs>10</Paragraphs>
  <ScaleCrop>false</ScaleCrop>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András</dc:creator>
  <cp:lastModifiedBy>András</cp:lastModifiedBy>
  <cp:revision>1</cp:revision>
  <dcterms:created xsi:type="dcterms:W3CDTF">2012-04-23T07:36:00Z</dcterms:created>
  <dcterms:modified xsi:type="dcterms:W3CDTF">2012-04-23T07:39:00Z</dcterms:modified>
</cp:coreProperties>
</file>